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744591A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0F454F">
        <w:rPr>
          <w:rFonts w:eastAsia="Arial Unicode MS"/>
          <w:b/>
        </w:rPr>
        <w:t>2</w:t>
      </w:r>
      <w:r w:rsidR="0020089E">
        <w:rPr>
          <w:rFonts w:eastAsia="Arial Unicode MS"/>
          <w:b/>
        </w:rPr>
        <w:t>4</w:t>
      </w:r>
    </w:p>
    <w:p w14:paraId="3342B827" w14:textId="3D6D5716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C53136">
        <w:rPr>
          <w:rFonts w:eastAsia="Arial Unicode MS"/>
        </w:rPr>
        <w:t>2</w:t>
      </w:r>
      <w:r w:rsidR="0020089E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69EDEB0B" w14:textId="1F4D2A4C" w:rsidR="0020089E" w:rsidRDefault="0020089E" w:rsidP="002F4BFA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  <w:bookmarkStart w:id="2" w:name="_Hlk155805295"/>
      <w:r w:rsidRPr="0020089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Par grozījumiem Madonas novada pašvaldības iestādes “Madonas Bērnu un jauniešu centrs” nolikumā </w:t>
      </w:r>
    </w:p>
    <w:p w14:paraId="6E5C5B68" w14:textId="77777777" w:rsidR="007F00CA" w:rsidRPr="0020089E" w:rsidRDefault="007F00CA" w:rsidP="002F4BFA">
      <w:pPr>
        <w:jc w:val="both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5BFE63BF" w14:textId="7A8BE2F4" w:rsidR="002F4BFA" w:rsidRPr="002F4BFA" w:rsidRDefault="002F4BFA" w:rsidP="002F4BFA">
      <w:pPr>
        <w:ind w:firstLine="709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F4BFA">
        <w:rPr>
          <w:rFonts w:eastAsiaTheme="minorHAnsi"/>
          <w:kern w:val="2"/>
          <w:lang w:eastAsia="en-US"/>
          <w14:ligatures w14:val="standardContextual"/>
        </w:rPr>
        <w:t>Ar 2024.</w:t>
      </w:r>
      <w:r w:rsidR="00450B4A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kern w:val="2"/>
          <w:lang w:eastAsia="en-US"/>
          <w14:ligatures w14:val="standardContextual"/>
        </w:rPr>
        <w:t>gada 31.</w:t>
      </w:r>
      <w:r w:rsidR="00450B4A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kern w:val="2"/>
          <w:lang w:eastAsia="en-US"/>
          <w14:ligatures w14:val="standardContextual"/>
        </w:rPr>
        <w:t>janvāra domes lēmumu Nr.</w:t>
      </w:r>
      <w:r w:rsidR="00450B4A">
        <w:rPr>
          <w:rFonts w:eastAsiaTheme="minorHAnsi"/>
          <w:kern w:val="2"/>
          <w:lang w:eastAsia="en-US"/>
          <w14:ligatures w14:val="standardContextual"/>
        </w:rPr>
        <w:t xml:space="preserve"> 22</w:t>
      </w:r>
      <w:r w:rsidRPr="002F4BFA">
        <w:rPr>
          <w:rFonts w:eastAsiaTheme="minorHAnsi"/>
          <w:kern w:val="2"/>
          <w:lang w:eastAsia="en-US"/>
          <w14:ligatures w14:val="standardContextual"/>
        </w:rPr>
        <w:t xml:space="preserve"> ir nolemts veikt strukturālās izmaiņas pašvaldības administrācijā, kuru rezultātā Madonas novada pašvaldības iestādes “Madonas bērnu un jauniešu centrs” struktūrvienība </w:t>
      </w:r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“Madonas novada </w:t>
      </w:r>
      <w:proofErr w:type="spellStart"/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Multifunkcionālais</w:t>
      </w:r>
      <w:proofErr w:type="spellEnd"/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jaunatnes iniciatīvu centrs “Kubs” tiek pievienota </w:t>
      </w:r>
      <w:proofErr w:type="spellStart"/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jaunizveidojamai</w:t>
      </w:r>
      <w:proofErr w:type="spellEnd"/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iestādei “Madonas novada Madonas apvienības pārvalde”. Līdz ar to ir nepieciešams veikt grozījumus Madonas novada pašvaldības iestādes “Madonas bērnu un jauniešu centrs” nolikumā. </w:t>
      </w:r>
    </w:p>
    <w:p w14:paraId="04C0EB7D" w14:textId="6271749F" w:rsidR="00873A2D" w:rsidRDefault="00450B4A" w:rsidP="00873A2D">
      <w:pPr>
        <w:ind w:firstLine="720"/>
        <w:jc w:val="both"/>
        <w:rPr>
          <w:rFonts w:eastAsia="Calibri"/>
          <w:b/>
          <w:bCs/>
        </w:rPr>
      </w:pPr>
      <w:r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P</w:t>
      </w:r>
      <w:r w:rsidR="002F4BFA"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amatojoties uz Pašvaldību likuma 10.</w:t>
      </w:r>
      <w:r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2F4BFA"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panta pirmās daļas 8.</w:t>
      </w:r>
      <w:r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2F4BFA"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punktu, Izglītības likuma 22.</w:t>
      </w:r>
      <w:r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2F4BFA"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panta pirmo daļu, Vispārējās izglītības likuma 8. un 9.</w:t>
      </w:r>
      <w:r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 </w:t>
      </w:r>
      <w:r w:rsidR="002F4BFA"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 xml:space="preserve">pantu, </w:t>
      </w:r>
      <w:r w:rsidR="002F4BFA" w:rsidRPr="002F4BFA">
        <w:rPr>
          <w:rFonts w:eastAsiaTheme="minorHAnsi"/>
          <w:color w:val="000000"/>
          <w:kern w:val="2"/>
          <w:lang w:eastAsia="en-US"/>
          <w14:ligatures w14:val="standardContextual"/>
        </w:rPr>
        <w:t>ņemot vērā 19.01.2024. Izglītības un jaunatnes lietu komitejas atzinumu</w:t>
      </w:r>
      <w:r w:rsidR="002F4BFA" w:rsidRPr="002F4BFA">
        <w:rPr>
          <w:rFonts w:eastAsiaTheme="minorHAnsi"/>
          <w:kern w:val="2"/>
          <w:lang w:eastAsia="en-US"/>
          <w14:ligatures w14:val="standardContextual"/>
        </w:rPr>
        <w:t xml:space="preserve">, </w:t>
      </w:r>
      <w:r w:rsidR="00873A2D">
        <w:t xml:space="preserve">atklāti balsojot: </w:t>
      </w:r>
      <w:r w:rsidR="00873A2D">
        <w:rPr>
          <w:b/>
          <w:color w:val="000000"/>
        </w:rPr>
        <w:t xml:space="preserve">PAR – 14 </w:t>
      </w:r>
      <w:r w:rsidR="00873A2D">
        <w:rPr>
          <w:color w:val="000000"/>
        </w:rPr>
        <w:t>(</w:t>
      </w:r>
      <w:r w:rsidR="00873A2D">
        <w:rPr>
          <w:bCs/>
          <w:noProof/>
        </w:rPr>
        <w:t>Agris Lungevičs, Aigars Šķēls, Aivis Masaļskis, Andris Dombrovskis, Andris Sakne, Artūrs Čačka, Arvīds Greidiņš, Gatis Teilis, Gunārs Ikaunieks, Guntis Klikučs, Kaspars Udrass, Māris Olte, Valda Kļaviņa, Zigfrīds Gora)</w:t>
      </w:r>
      <w:r w:rsidR="00873A2D">
        <w:rPr>
          <w:rFonts w:eastAsia="Calibri"/>
        </w:rPr>
        <w:t>,</w:t>
      </w:r>
      <w:r w:rsidR="00873A2D">
        <w:rPr>
          <w:rFonts w:eastAsia="Calibri"/>
          <w:b/>
          <w:bCs/>
        </w:rPr>
        <w:t xml:space="preserve"> PRET – NAV, ATTURAS – NAV</w:t>
      </w:r>
      <w:r w:rsidR="00873A2D">
        <w:rPr>
          <w:rFonts w:eastAsia="Calibri"/>
        </w:rPr>
        <w:t xml:space="preserve">, Madonas novada pašvaldības dome </w:t>
      </w:r>
      <w:r w:rsidR="00873A2D">
        <w:rPr>
          <w:rFonts w:eastAsia="Calibri"/>
          <w:b/>
          <w:bCs/>
        </w:rPr>
        <w:t>NOLEMJ:</w:t>
      </w:r>
    </w:p>
    <w:p w14:paraId="455E7F92" w14:textId="77777777" w:rsidR="002F4BFA" w:rsidRPr="002F4BFA" w:rsidRDefault="002F4BFA" w:rsidP="00450B4A">
      <w:pPr>
        <w:jc w:val="both"/>
        <w:rPr>
          <w:rFonts w:eastAsiaTheme="minorHAnsi"/>
          <w:kern w:val="2"/>
          <w:lang w:eastAsia="lo-LA" w:bidi="lo-LA"/>
          <w14:ligatures w14:val="standardContextual"/>
        </w:rPr>
      </w:pPr>
    </w:p>
    <w:p w14:paraId="0A08BA90" w14:textId="77777777" w:rsidR="002F4BFA" w:rsidRPr="002F4BFA" w:rsidRDefault="002F4BFA" w:rsidP="007436EC">
      <w:pPr>
        <w:numPr>
          <w:ilvl w:val="0"/>
          <w:numId w:val="19"/>
        </w:numPr>
        <w:ind w:hanging="720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2F4BFA">
        <w:rPr>
          <w:rFonts w:eastAsiaTheme="minorHAnsi"/>
          <w:kern w:val="2"/>
          <w:lang w:eastAsia="en-US"/>
          <w14:ligatures w14:val="standardContextual"/>
        </w:rPr>
        <w:t xml:space="preserve">Veikt šādus grozījumus Madonas novada </w:t>
      </w:r>
      <w:r w:rsidRPr="002F4BFA">
        <w:rPr>
          <w:rFonts w:eastAsiaTheme="minorHAnsi"/>
          <w:color w:val="212529"/>
          <w:kern w:val="2"/>
          <w:shd w:val="clear" w:color="auto" w:fill="FFFFFF"/>
          <w:lang w:eastAsia="en-US"/>
          <w14:ligatures w14:val="standardContextual"/>
        </w:rPr>
        <w:t>pašvaldības iestādes “Madonas bērnu un jauniešu centrs” nolikumā:</w:t>
      </w:r>
    </w:p>
    <w:p w14:paraId="0BE9D5F8" w14:textId="0DE903FB" w:rsidR="002F4BFA" w:rsidRPr="002F4BFA" w:rsidRDefault="002F4BFA" w:rsidP="002F4BFA">
      <w:pPr>
        <w:numPr>
          <w:ilvl w:val="1"/>
          <w:numId w:val="19"/>
        </w:numPr>
        <w:tabs>
          <w:tab w:val="left" w:pos="760"/>
        </w:tabs>
        <w:suppressAutoHyphens/>
        <w:contextualSpacing/>
        <w:jc w:val="both"/>
      </w:pPr>
      <w:r w:rsidRPr="002F4BFA">
        <w:t>aizstāt nolikuma izdošanas tiesiskajā pamatojumā vārdus un skaitļus “likuma “Par pašvaldībām” 21.</w:t>
      </w:r>
      <w:r w:rsidR="00450B4A">
        <w:t xml:space="preserve"> </w:t>
      </w:r>
      <w:r w:rsidRPr="002F4BFA">
        <w:t>panta 8.</w:t>
      </w:r>
      <w:r w:rsidR="00450B4A">
        <w:t xml:space="preserve"> </w:t>
      </w:r>
      <w:r w:rsidRPr="002F4BFA">
        <w:t>punktu” ar vārdiem un skaitļiem “Pašvaldību likuma 10.</w:t>
      </w:r>
      <w:r w:rsidR="00450B4A">
        <w:t> </w:t>
      </w:r>
      <w:r w:rsidRPr="002F4BFA">
        <w:t>panta pirmās daļas 8.</w:t>
      </w:r>
      <w:r w:rsidR="00450B4A">
        <w:t xml:space="preserve"> </w:t>
      </w:r>
      <w:r w:rsidRPr="002F4BFA">
        <w:t>punktu”;</w:t>
      </w:r>
    </w:p>
    <w:p w14:paraId="24C252A7" w14:textId="3F4A7B97" w:rsidR="002F4BFA" w:rsidRPr="002F4BFA" w:rsidRDefault="002F4BFA" w:rsidP="002F4BFA">
      <w:pPr>
        <w:numPr>
          <w:ilvl w:val="1"/>
          <w:numId w:val="19"/>
        </w:numPr>
        <w:tabs>
          <w:tab w:val="left" w:pos="760"/>
        </w:tabs>
        <w:suppressAutoHyphens/>
        <w:contextualSpacing/>
        <w:jc w:val="both"/>
      </w:pPr>
      <w:r w:rsidRPr="002F4BFA">
        <w:rPr>
          <w:rFonts w:eastAsiaTheme="minorHAnsi"/>
          <w:color w:val="000000"/>
          <w:kern w:val="2"/>
          <w:lang w:eastAsia="en-US"/>
          <w14:ligatures w14:val="standardContextual"/>
        </w:rPr>
        <w:t>svītrot nolikuma 1.</w:t>
      </w:r>
      <w:r w:rsidR="00450B4A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punktā teikumu </w:t>
      </w:r>
      <w:r w:rsidRPr="002F4BFA">
        <w:rPr>
          <w:rFonts w:eastAsiaTheme="minorHAnsi"/>
          <w:kern w:val="2"/>
          <w:lang w:eastAsia="en-US"/>
          <w14:ligatures w14:val="standardContextual"/>
        </w:rPr>
        <w:t>“</w:t>
      </w:r>
      <w:r w:rsidRPr="002F4BFA">
        <w:t xml:space="preserve">Iestāde </w:t>
      </w:r>
      <w:r w:rsidRPr="002F4BFA">
        <w:rPr>
          <w:sz w:val="23"/>
          <w:szCs w:val="23"/>
        </w:rPr>
        <w:t>ir Madonas novada pašvaldības darba ar jaunatni īstenošanas instruments un institucionālās sistēmas darbam ar jaunatni sastāvdaļa.”;</w:t>
      </w:r>
    </w:p>
    <w:p w14:paraId="4DE9960D" w14:textId="27742DAB" w:rsidR="002F4BFA" w:rsidRPr="002F4BFA" w:rsidRDefault="002F4BFA" w:rsidP="002F4BFA">
      <w:pPr>
        <w:numPr>
          <w:ilvl w:val="1"/>
          <w:numId w:val="19"/>
        </w:numPr>
        <w:tabs>
          <w:tab w:val="left" w:pos="760"/>
        </w:tabs>
        <w:suppressAutoHyphens/>
        <w:contextualSpacing/>
        <w:jc w:val="both"/>
      </w:pPr>
      <w:r w:rsidRPr="002F4BFA">
        <w:rPr>
          <w:sz w:val="23"/>
          <w:szCs w:val="23"/>
        </w:rPr>
        <w:t>izteikt nolikuma 6.</w:t>
      </w:r>
      <w:r w:rsidR="00450B4A">
        <w:rPr>
          <w:sz w:val="23"/>
          <w:szCs w:val="23"/>
        </w:rPr>
        <w:t xml:space="preserve"> </w:t>
      </w:r>
      <w:r w:rsidRPr="002F4BFA">
        <w:rPr>
          <w:sz w:val="23"/>
          <w:szCs w:val="23"/>
        </w:rPr>
        <w:t>punktu šādā redakcijā:</w:t>
      </w:r>
    </w:p>
    <w:p w14:paraId="152E5235" w14:textId="77777777" w:rsidR="002F4BFA" w:rsidRPr="002F4BFA" w:rsidRDefault="002F4BFA" w:rsidP="002F4BFA">
      <w:pPr>
        <w:tabs>
          <w:tab w:val="left" w:pos="760"/>
        </w:tabs>
        <w:suppressAutoHyphens/>
        <w:ind w:left="720"/>
        <w:contextualSpacing/>
        <w:jc w:val="both"/>
      </w:pPr>
      <w:r w:rsidRPr="002F4BFA">
        <w:rPr>
          <w:sz w:val="23"/>
          <w:szCs w:val="23"/>
        </w:rPr>
        <w:t>“6.</w:t>
      </w:r>
      <w:r w:rsidRPr="002F4BF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2F4BFA">
        <w:rPr>
          <w:sz w:val="23"/>
          <w:szCs w:val="23"/>
        </w:rPr>
        <w:t>Iestādes izglītības programmu īstenošanas vietas adreses norādītas Valsts izglītības informācijas sistēmā Ministru kabineta noteiktajā kārtībā.”;</w:t>
      </w:r>
    </w:p>
    <w:p w14:paraId="2D147ACB" w14:textId="2F08BC7C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svītrot nolikuma 8.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punktā vārdus “darbs ar jaunatni Madonas pilsētā.”;</w:t>
      </w:r>
    </w:p>
    <w:p w14:paraId="05B798CA" w14:textId="7D339FD5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svītrot nolikuma 9.6.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punktā vārdus “īstenot darbu ar jaunatni”;</w:t>
      </w:r>
    </w:p>
    <w:p w14:paraId="6F6D2518" w14:textId="4087B6D3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svītrot nolikuma 9.9.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punktu;</w:t>
      </w:r>
    </w:p>
    <w:p w14:paraId="4934EDE6" w14:textId="317D8DA7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svītrot nolikuma 9.11.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punktā vārdus “jaunatnes darba”;</w:t>
      </w:r>
    </w:p>
    <w:p w14:paraId="0E9764DA" w14:textId="38B000B5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svītrot nolikuma 9.14. un 18.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punktu;</w:t>
      </w:r>
    </w:p>
    <w:p w14:paraId="6104BFEF" w14:textId="5317ECB4" w:rsidR="002F4BFA" w:rsidRPr="002F4BFA" w:rsidRDefault="002F4BFA" w:rsidP="002F4BFA">
      <w:pPr>
        <w:numPr>
          <w:ilvl w:val="1"/>
          <w:numId w:val="19"/>
        </w:numPr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izteikt nolikuma 40.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punktu šādā redakcijā:</w:t>
      </w:r>
    </w:p>
    <w:p w14:paraId="0E440B45" w14:textId="77777777" w:rsidR="002F4BFA" w:rsidRPr="002F4BFA" w:rsidRDefault="002F4BFA" w:rsidP="002F4BFA">
      <w:pPr>
        <w:ind w:left="720"/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color w:val="000000"/>
          <w:kern w:val="2"/>
          <w:lang w:eastAsia="en-US"/>
          <w14:ligatures w14:val="standardContextual"/>
        </w:rPr>
        <w:t xml:space="preserve">“40. Direktors, </w:t>
      </w:r>
      <w:r w:rsidRPr="002F4BFA">
        <w:rPr>
          <w:rFonts w:eastAsiaTheme="minorHAnsi"/>
          <w:kern w:val="2"/>
          <w:lang w:eastAsia="en-US"/>
          <w14:ligatures w14:val="standardContextual"/>
        </w:rPr>
        <w:t xml:space="preserve">atbilstoši apstiprinātajam budžetam, ir tiesīgs slēgt </w:t>
      </w:r>
      <w:proofErr w:type="spellStart"/>
      <w:r w:rsidRPr="002F4BFA">
        <w:rPr>
          <w:rFonts w:eastAsiaTheme="minorHAnsi"/>
          <w:kern w:val="2"/>
          <w:lang w:eastAsia="en-US"/>
          <w14:ligatures w14:val="standardContextual"/>
        </w:rPr>
        <w:t>zemsliekšņa</w:t>
      </w:r>
      <w:proofErr w:type="spellEnd"/>
      <w:r w:rsidRPr="002F4BFA">
        <w:rPr>
          <w:rFonts w:eastAsiaTheme="minorHAnsi"/>
          <w:kern w:val="2"/>
          <w:lang w:eastAsia="en-US"/>
          <w14:ligatures w14:val="standardContextual"/>
        </w:rPr>
        <w:t xml:space="preserve"> iepirkumu līgumus (piegādes, pakalpojumu), ievērojot Dibinātāja noteikto iepirkumu </w:t>
      </w:r>
      <w:r w:rsidRPr="002F4BFA">
        <w:rPr>
          <w:rFonts w:eastAsiaTheme="minorHAnsi"/>
          <w:kern w:val="2"/>
          <w:lang w:eastAsia="en-US"/>
          <w14:ligatures w14:val="standardContextual"/>
        </w:rPr>
        <w:lastRenderedPageBreak/>
        <w:t>organizēšanas kārtību, kā arī uzņēmuma līgumus, telpu nomas līgumus un citus līgumus Iestādes funkciju nodrošināšanai.”.</w:t>
      </w:r>
    </w:p>
    <w:p w14:paraId="63710891" w14:textId="62F1614A" w:rsidR="002F4BFA" w:rsidRPr="002F4BFA" w:rsidRDefault="002F4BFA" w:rsidP="00450B4A">
      <w:pPr>
        <w:numPr>
          <w:ilvl w:val="0"/>
          <w:numId w:val="19"/>
        </w:numPr>
        <w:ind w:left="709" w:hanging="709"/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Noteikt, ka grozījumi nolikumā stājas spēkā 2024.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gada 1.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martā.</w:t>
      </w:r>
    </w:p>
    <w:p w14:paraId="02628CDA" w14:textId="77777777" w:rsidR="002F4BFA" w:rsidRPr="002F4BFA" w:rsidRDefault="002F4BFA" w:rsidP="00450B4A">
      <w:pPr>
        <w:numPr>
          <w:ilvl w:val="0"/>
          <w:numId w:val="19"/>
        </w:numPr>
        <w:ind w:left="709" w:hanging="709"/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Uzdot pašvaldības izpilddirektoram organizēt nolikuma konsolidētās versijas sagatavošanu un publicēšanu pašvaldības tīmekļvietnē.</w:t>
      </w:r>
    </w:p>
    <w:p w14:paraId="19C2496F" w14:textId="77777777" w:rsidR="002F4BFA" w:rsidRPr="002F4BFA" w:rsidRDefault="002F4BFA" w:rsidP="002F4BFA">
      <w:pPr>
        <w:numPr>
          <w:ilvl w:val="0"/>
          <w:numId w:val="19"/>
        </w:numPr>
        <w:ind w:left="709" w:hanging="709"/>
        <w:contextualSpacing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Madonas novada Centrālās administrācijas Izglītības nodaļai nodrošināt Madonas Bērnu un jauniešu centra nolikuma aktuālās redakcijas ievietošanu Valsts izglītības informācijas sistēmā.</w:t>
      </w:r>
    </w:p>
    <w:p w14:paraId="4D87F0AE" w14:textId="0EA03C87" w:rsidR="002F4BFA" w:rsidRPr="002F4BFA" w:rsidRDefault="002F4BFA" w:rsidP="002F4BFA">
      <w:pPr>
        <w:numPr>
          <w:ilvl w:val="0"/>
          <w:numId w:val="19"/>
        </w:numPr>
        <w:ind w:left="709" w:hanging="709"/>
        <w:contextualSpacing/>
        <w:jc w:val="both"/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</w:pP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Uzdot Madonas bērnu un jauniešu centra direktorei sadarbībā ar Madonas novada Centrālās administrācijas Izglītības nodaļu līdz 2023.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 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gada 1.</w:t>
      </w:r>
      <w:r w:rsidR="00450B4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 </w:t>
      </w:r>
      <w:r w:rsidRPr="002F4BFA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martam izvērtēt pašvaldības iestādes  “Madonas bērnu un jauniešu centrs”  pedagoģisko amata vienību sarakstu kontekstā ar iestādes funkciju samazinājumu, iesniedzot priekšlikumu grozījumiem amata vienību sarakstā izskatīšanai Izglītības un jaunatnes lietu komitejā.   </w:t>
      </w:r>
    </w:p>
    <w:p w14:paraId="7B48F8A8" w14:textId="77777777" w:rsidR="0020089E" w:rsidRPr="0020089E" w:rsidRDefault="0020089E" w:rsidP="002F4BFA">
      <w:pPr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</w:p>
    <w:p w14:paraId="39782D8F" w14:textId="77777777" w:rsidR="0020089E" w:rsidRPr="0020089E" w:rsidRDefault="0020089E" w:rsidP="002F4BFA">
      <w:pPr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</w:p>
    <w:bookmarkEnd w:id="2"/>
    <w:p w14:paraId="21371BB9" w14:textId="77777777" w:rsidR="00C21A70" w:rsidRPr="008641A5" w:rsidRDefault="00C21A70" w:rsidP="002F4BFA">
      <w:pPr>
        <w:jc w:val="both"/>
        <w:rPr>
          <w:rFonts w:eastAsia="Calibri"/>
        </w:rPr>
      </w:pPr>
    </w:p>
    <w:p w14:paraId="53446254" w14:textId="77777777" w:rsidR="00466449" w:rsidRPr="00582C08" w:rsidRDefault="00466449" w:rsidP="002F4BFA">
      <w:pPr>
        <w:jc w:val="both"/>
      </w:pPr>
      <w:r w:rsidRPr="00582C08">
        <w:t xml:space="preserve">             </w:t>
      </w:r>
      <w:bookmarkStart w:id="3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2F4BFA">
      <w:pPr>
        <w:rPr>
          <w:i/>
        </w:rPr>
      </w:pPr>
    </w:p>
    <w:p w14:paraId="348D3C09" w14:textId="77777777" w:rsidR="00466449" w:rsidRDefault="00466449" w:rsidP="002F4BFA">
      <w:pPr>
        <w:rPr>
          <w:i/>
        </w:rPr>
      </w:pPr>
    </w:p>
    <w:bookmarkEnd w:id="3"/>
    <w:p w14:paraId="10DE7D4F" w14:textId="77777777" w:rsidR="008641A5" w:rsidRPr="008641A5" w:rsidRDefault="008641A5" w:rsidP="002F4BFA">
      <w:pPr>
        <w:rPr>
          <w:i/>
          <w:iCs/>
        </w:rPr>
      </w:pPr>
    </w:p>
    <w:p w14:paraId="3969D1B5" w14:textId="24CE1294" w:rsidR="007F00CA" w:rsidRDefault="007F00CA" w:rsidP="002F4BFA">
      <w:pPr>
        <w:jc w:val="both"/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</w:pPr>
      <w:r w:rsidRPr="0020089E"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  <w:t>Strazdiņa</w:t>
      </w:r>
      <w:r w:rsidR="00450B4A"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  <w:t xml:space="preserve"> 27862080</w:t>
      </w:r>
    </w:p>
    <w:p w14:paraId="5EE6B6FC" w14:textId="1C36B081" w:rsidR="007F00CA" w:rsidRPr="0020089E" w:rsidRDefault="007F00CA" w:rsidP="002F4BFA">
      <w:pPr>
        <w:jc w:val="both"/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</w:pPr>
      <w:r w:rsidRPr="0020089E"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  <w:t>Zāle</w:t>
      </w:r>
      <w:r w:rsidR="00450B4A">
        <w:rPr>
          <w:rFonts w:eastAsiaTheme="minorHAnsi"/>
          <w:bCs/>
          <w:i/>
          <w:iCs/>
          <w:color w:val="000000"/>
          <w:kern w:val="2"/>
          <w:lang w:eastAsia="en-US"/>
          <w14:ligatures w14:val="standardContextual"/>
        </w:rPr>
        <w:t xml:space="preserve"> 26486811</w:t>
      </w:r>
    </w:p>
    <w:p w14:paraId="5224E485" w14:textId="77777777" w:rsidR="008641A5" w:rsidRPr="007929E1" w:rsidRDefault="008641A5" w:rsidP="002F4BFA">
      <w:pPr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7972" w14:textId="77777777" w:rsidR="00F408FD" w:rsidRDefault="00F408FD" w:rsidP="00151271">
      <w:r>
        <w:separator/>
      </w:r>
    </w:p>
  </w:endnote>
  <w:endnote w:type="continuationSeparator" w:id="0">
    <w:p w14:paraId="06708889" w14:textId="77777777" w:rsidR="00F408FD" w:rsidRDefault="00F408F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4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F408FD" w:rsidP="00B65CCD">
        <w:pPr>
          <w:pStyle w:val="Kjene"/>
          <w:jc w:val="center"/>
        </w:pPr>
      </w:p>
    </w:sdtContent>
  </w:sdt>
  <w:bookmarkEnd w:id="4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97444"/>
      <w:docPartObj>
        <w:docPartGallery w:val="Page Numbers (Bottom of Page)"/>
        <w:docPartUnique/>
      </w:docPartObj>
    </w:sdtPr>
    <w:sdtEndPr/>
    <w:sdtContent>
      <w:p w14:paraId="038D6395" w14:textId="2F2259A1" w:rsidR="00C17D82" w:rsidRPr="003C7F1F" w:rsidRDefault="00C17D82" w:rsidP="00C17D82">
        <w:pPr>
          <w:pStyle w:val="Kjene"/>
          <w:jc w:val="center"/>
          <w:rPr>
            <w:sz w:val="20"/>
            <w:szCs w:val="20"/>
          </w:rPr>
        </w:pPr>
      </w:p>
      <w:p w14:paraId="6231F6F6" w14:textId="77777777" w:rsidR="00C17D82" w:rsidRDefault="00F408FD" w:rsidP="00C17D82">
        <w:pPr>
          <w:pStyle w:val="Kjene"/>
          <w:jc w:val="center"/>
        </w:pPr>
      </w:p>
    </w:sdtContent>
  </w:sdt>
  <w:p w14:paraId="3EFD684D" w14:textId="62094D13" w:rsidR="00C17D82" w:rsidRDefault="00C17D82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E544" w14:textId="77777777" w:rsidR="00F408FD" w:rsidRDefault="00F408FD" w:rsidP="00151271">
      <w:r>
        <w:separator/>
      </w:r>
    </w:p>
  </w:footnote>
  <w:footnote w:type="continuationSeparator" w:id="0">
    <w:p w14:paraId="49FCEA94" w14:textId="77777777" w:rsidR="00F408FD" w:rsidRDefault="00F408F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2F902BB"/>
    <w:multiLevelType w:val="multilevel"/>
    <w:tmpl w:val="EC4A8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6B4A"/>
    <w:multiLevelType w:val="multilevel"/>
    <w:tmpl w:val="EC4A8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7"/>
  </w:num>
  <w:num w:numId="5">
    <w:abstractNumId w:val="4"/>
  </w:num>
  <w:num w:numId="6">
    <w:abstractNumId w:val="1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20"/>
  </w:num>
  <w:num w:numId="13">
    <w:abstractNumId w:val="3"/>
  </w:num>
  <w:num w:numId="14">
    <w:abstractNumId w:val="11"/>
  </w:num>
  <w:num w:numId="15">
    <w:abstractNumId w:val="13"/>
  </w:num>
  <w:num w:numId="16">
    <w:abstractNumId w:val="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089E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4BFA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50B4A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6EC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0F6D"/>
    <w:rsid w:val="007E29A9"/>
    <w:rsid w:val="007E3924"/>
    <w:rsid w:val="007E53E1"/>
    <w:rsid w:val="007F00CA"/>
    <w:rsid w:val="007F45D8"/>
    <w:rsid w:val="007F55B1"/>
    <w:rsid w:val="007F640A"/>
    <w:rsid w:val="007F6B2F"/>
    <w:rsid w:val="0080032C"/>
    <w:rsid w:val="0080296F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3A2D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5472"/>
    <w:rsid w:val="00AA6711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96105"/>
    <w:rsid w:val="00BA1E20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38A5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590B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61A5"/>
    <w:rsid w:val="00E86F88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08FD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2337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429</cp:revision>
  <dcterms:created xsi:type="dcterms:W3CDTF">2023-08-17T07:16:00Z</dcterms:created>
  <dcterms:modified xsi:type="dcterms:W3CDTF">2024-02-01T09:59:00Z</dcterms:modified>
</cp:coreProperties>
</file>